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528" w:tblpY="3195"/>
        <w:tblOverlap w:val="never"/>
        <w:tblW w:w="1378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7448"/>
        <w:gridCol w:w="3753"/>
        <w:gridCol w:w="12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占总学分比例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实践教学学分占总学分比例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69.10%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选修课学分占总学分比例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12.60%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2019级实践教学学分、选修课学分占总学分比例一览表</w:t>
      </w:r>
    </w:p>
    <w:bookmarkEnd w:id="0"/>
    <w:p>
      <w:pPr>
        <w:jc w:val="right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jc w:val="right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jc w:val="right"/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2020年11月6日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D57DD"/>
    <w:rsid w:val="7D8D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